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~B~UPACT-UK  ::  PAncreatic Cancer reporting Template - UK~b~u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Imaging reviewed:    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~BSUMMARY~b:   ~I(optional - key positive findings)~i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~I* If clear metastatic disease, complete only part A. Delete the irrelevant parts accordingly, including instructions in italics.~i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~BPART A - Initial staging~b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1) ~UTumour~u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Location:                         Uncinate/Head/Neck/Body/Tail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Maximum diameter:         _ mm / isodense precluding ability to estimate size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Biliary involvement:         Yes stented/ Yes un-stented/ No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Pancreatic duct size:        _ mm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2) ~UAdjacent organ involvement~u (including duodenum):    No / Yes     [   ] 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3) ~URegional lymphadenopathy~u:             No / Yes       [   ] 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4) ~UMetastatic disease~u:                          No / Indeterminate / Yes 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Specify location and volume: 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5) ~UPredicted tumour type~u:                    PDAC / Ampullary / Cholangiocarcinoma / Other [   ]  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6) ~UPredicted radiological staging~u:          T_   N_   M_ 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~BPART B - Vessel involvement~b: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1) ~UVariant vascular anatomy~u  (incl. accessory/replaced RHA/CHA)?    No / Yes  [   ] 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2) ~UVenous contact~u: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PV:                               No / Yes     [  °]      [   ]  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SMV:                            No / Yes     [  °]      [   ] 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PV/SMV total contact length   _ mm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Jejunal/colic tributaries: No / Yes     [   ]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Other vein contact:        No / Yes    [Vessel:  ]    [  °]    [   ]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Presence of venous collaterals in context of PV/SMV occlusion?:  No / Yes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3) ~UArterial contact~u: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SMA:                            No / Yes     [  °]      [   ]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SMA total contact length   _ mm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CHA:                            No / Yes     [  °]      [   ]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Coeliac axis:                 No / Yes     [  °]      [   ]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Jejunal/colic branches:  No / Yes     [   ]  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GDA:                            No / Yes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Other arterial contact (inc accessory):   No / Yes   [Vessel:   ]  [  °]  [    ]  </w:t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4) ~UStenosed coeliac axis/SMA origin~u:               No / Yes     [   ]</w:t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~I* For each involved vessel, state degrees of contact in first box (state range 0-90,90-180,180-270,270-360) and presence of narrowing, occlusion or thrombosis in second box.~i</w:t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~BPART C - Additional findings~b:</w:t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=================================================</w:t>
      </w:r>
    </w:p>
    <w:p w:rsidR="00000000" w:rsidDel="00000000" w:rsidP="00000000" w:rsidRDefault="00000000" w:rsidRPr="00000000" w14:paraId="0000003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HHdjA4iEXEQHkEoZMUYt2E5RqQ==">AMUW2mVR/QgY41MKeP7s0ezTo3DT0fZoPtRmRLqYNip7gfJ6QYTzwBJ/29K1C1dPd2lXztQis1Zhew5WgMN0qHkOTwCm5MHfbfBkzj/o4XB9lf9x5Te2MdY=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